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D9" w:rsidRDefault="00B500D9" w:rsidP="00B500D9">
      <w:pPr>
        <w:pStyle w:val="a3"/>
        <w:shd w:val="clear" w:color="auto" w:fill="FFFFFF"/>
        <w:spacing w:before="0" w:beforeAutospacing="0" w:after="0" w:afterAutospacing="0"/>
        <w:jc w:val="center"/>
        <w:rPr>
          <w:rFonts w:ascii="楷体" w:eastAsia="楷体" w:hAnsi="楷体" w:hint="eastAsia"/>
          <w:sz w:val="28"/>
          <w:szCs w:val="28"/>
        </w:rPr>
      </w:pPr>
      <w:bookmarkStart w:id="0" w:name="_GoBack"/>
      <w:r w:rsidRPr="00AC4CE4">
        <w:rPr>
          <w:rFonts w:hint="eastAsia"/>
          <w:b/>
          <w:bCs/>
          <w:sz w:val="36"/>
          <w:szCs w:val="28"/>
        </w:rPr>
        <w:t>教育部关于一流本科课程建设的实施意见</w:t>
      </w:r>
      <w:bookmarkEnd w:id="0"/>
      <w:r w:rsidRPr="00AC4CE4">
        <w:rPr>
          <w:rFonts w:hint="eastAsia"/>
          <w:b/>
          <w:bCs/>
          <w:sz w:val="28"/>
          <w:szCs w:val="28"/>
        </w:rPr>
        <w:br/>
      </w:r>
      <w:proofErr w:type="gramStart"/>
      <w:r w:rsidRPr="00AC4CE4">
        <w:rPr>
          <w:rFonts w:ascii="楷体" w:eastAsia="楷体" w:hAnsi="楷体" w:hint="eastAsia"/>
          <w:sz w:val="28"/>
          <w:szCs w:val="28"/>
        </w:rPr>
        <w:t>教高〔2019〕</w:t>
      </w:r>
      <w:proofErr w:type="gramEnd"/>
      <w:r w:rsidRPr="00AC4CE4">
        <w:rPr>
          <w:rFonts w:ascii="楷体" w:eastAsia="楷体" w:hAnsi="楷体" w:hint="eastAsia"/>
          <w:sz w:val="28"/>
          <w:szCs w:val="28"/>
        </w:rPr>
        <w:t>8号</w:t>
      </w:r>
    </w:p>
    <w:p w:rsidR="00AC4CE4" w:rsidRPr="00AC4CE4" w:rsidRDefault="00AC4CE4" w:rsidP="00B500D9">
      <w:pPr>
        <w:pStyle w:val="a3"/>
        <w:shd w:val="clear" w:color="auto" w:fill="FFFFFF"/>
        <w:spacing w:before="0" w:beforeAutospacing="0" w:after="0" w:afterAutospacing="0"/>
        <w:jc w:val="center"/>
        <w:rPr>
          <w:sz w:val="28"/>
          <w:szCs w:val="28"/>
        </w:rPr>
      </w:pPr>
    </w:p>
    <w:p w:rsidR="00B500D9" w:rsidRPr="00AC4CE4" w:rsidRDefault="00B500D9" w:rsidP="00AC4CE4">
      <w:pPr>
        <w:pStyle w:val="a3"/>
        <w:shd w:val="clear" w:color="auto" w:fill="FFFFFF"/>
        <w:spacing w:before="0" w:beforeAutospacing="0" w:after="0" w:afterAutospacing="0" w:line="360" w:lineRule="auto"/>
        <w:rPr>
          <w:sz w:val="28"/>
          <w:szCs w:val="28"/>
        </w:rPr>
      </w:pPr>
      <w:r w:rsidRPr="00AC4CE4">
        <w:rPr>
          <w:rFonts w:hint="eastAsia"/>
          <w:sz w:val="28"/>
          <w:szCs w:val="28"/>
        </w:rPr>
        <w:t>各省、自治区、直辖市教育厅（教委），新疆生产建设兵团教育局，有关部门（单位）教育司（局），部属各高等学校、部省合建各高等学校：</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课程是人才培养的核心要素，课程质量直接决定人才培养质量。为贯彻落</w:t>
      </w:r>
      <w:proofErr w:type="gramStart"/>
      <w:r w:rsidRPr="00AC4CE4">
        <w:rPr>
          <w:rFonts w:hint="eastAsia"/>
          <w:sz w:val="28"/>
          <w:szCs w:val="28"/>
        </w:rPr>
        <w:t>实习近</w:t>
      </w:r>
      <w:proofErr w:type="gramEnd"/>
      <w:r w:rsidRPr="00AC4CE4">
        <w:rPr>
          <w:rFonts w:hint="eastAsia"/>
          <w:sz w:val="28"/>
          <w:szCs w:val="28"/>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一、总体要求</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（一）指导思想</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以习近平新时代中国特色社会主义思想为指导，贯彻落实党的十九大精神，落实立德树人根本任务，把立德</w:t>
      </w:r>
      <w:proofErr w:type="gramStart"/>
      <w:r w:rsidRPr="00AC4CE4">
        <w:rPr>
          <w:rFonts w:hint="eastAsia"/>
          <w:sz w:val="28"/>
          <w:szCs w:val="28"/>
        </w:rPr>
        <w:t>树人成效</w:t>
      </w:r>
      <w:proofErr w:type="gramEnd"/>
      <w:r w:rsidRPr="00AC4CE4">
        <w:rPr>
          <w:rFonts w:hint="eastAsia"/>
          <w:sz w:val="28"/>
          <w:szCs w:val="28"/>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（二）总体目标</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w:t>
      </w:r>
      <w:r w:rsidRPr="00AC4CE4">
        <w:rPr>
          <w:rFonts w:hint="eastAsia"/>
          <w:sz w:val="28"/>
          <w:szCs w:val="28"/>
        </w:rPr>
        <w:lastRenderedPageBreak/>
        <w:t>年左右时间，建成万门左右国家级和万门左右省级一流本科课程（简称一流本科课程“双万计划”）。</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（三）基本原则</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——坚持分类建设。依据高校办学定位和人才培养目标定位，建设适应创新型、复合型、应用型人才培养需要的一流本科课程，实现不同类型高校一流本科课程建设全覆盖。</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——坚持扶强扶特。着力引导“双一流”建设高校、部省合建高校发挥引领示范作用，重点打造一批高水平课程，为卓越拔尖人才培养提供有力支撑。重点支持已有建设基础、取得明显教学成效的课程，</w:t>
      </w:r>
      <w:proofErr w:type="gramStart"/>
      <w:r w:rsidRPr="00AC4CE4">
        <w:rPr>
          <w:rFonts w:hint="eastAsia"/>
          <w:sz w:val="28"/>
          <w:szCs w:val="28"/>
        </w:rPr>
        <w:t>让优的</w:t>
      </w:r>
      <w:proofErr w:type="gramEnd"/>
      <w:r w:rsidRPr="00AC4CE4">
        <w:rPr>
          <w:rFonts w:hint="eastAsia"/>
          <w:sz w:val="28"/>
          <w:szCs w:val="28"/>
        </w:rPr>
        <w:t>更优、强的更强。重视特色课程建设，实现一流本科课程多样化。</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提升高阶性。课程目标坚持知识、能力、素质有机融合，培养学生解决复杂问题的综合能力和高级思维。课程内容强调广度和深度，突破习惯性认知模式，培养学生深度分析、大胆质疑、勇于创新的精神和能力。</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增加挑战度。课程设计增加研究性、创新性、综合性内容，加大学生学习投入，科学“增负”，让学生体验“跳一跳才能够得着”的学习挑战。严格考核考试评价，增强学生经过刻苦学习收获能力和素质提高的成就感。</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二、建设内容</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转变观念，理念新起来。以新理念引领一流本科课程建设。牢固树立“三个不合格”理念，竖起“高压线”，不抓本科教育的高校不是合格的高校，不重视本科教育的书记校长不是合格的书记校长，不参与本科教学的</w:t>
      </w:r>
      <w:r w:rsidRPr="00AC4CE4">
        <w:rPr>
          <w:rFonts w:hint="eastAsia"/>
          <w:sz w:val="28"/>
          <w:szCs w:val="28"/>
        </w:rPr>
        <w:lastRenderedPageBreak/>
        <w:t>教授不是合格的教授。推动</w:t>
      </w:r>
      <w:proofErr w:type="gramStart"/>
      <w:r w:rsidRPr="00AC4CE4">
        <w:rPr>
          <w:rFonts w:hint="eastAsia"/>
          <w:sz w:val="28"/>
          <w:szCs w:val="28"/>
        </w:rPr>
        <w:t>课程思政的</w:t>
      </w:r>
      <w:proofErr w:type="gramEnd"/>
      <w:r w:rsidRPr="00AC4CE4">
        <w:rPr>
          <w:rFonts w:hint="eastAsia"/>
          <w:sz w:val="28"/>
          <w:szCs w:val="28"/>
        </w:rPr>
        <w:t>理念形成广泛共识，构建全员全程全方位育人大格局。确立学生中心、产出导向、持续改进的理念，提升课程的高阶性，突出课程的创新性，增加课程的挑战度。</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sidRPr="00AC4CE4">
        <w:rPr>
          <w:rFonts w:hint="eastAsia"/>
          <w:sz w:val="28"/>
          <w:szCs w:val="28"/>
        </w:rPr>
        <w:t>学习全</w:t>
      </w:r>
      <w:proofErr w:type="gramEnd"/>
      <w:r w:rsidRPr="00AC4CE4">
        <w:rPr>
          <w:rFonts w:hint="eastAsia"/>
          <w:sz w:val="28"/>
          <w:szCs w:val="28"/>
        </w:rPr>
        <w:t>覆盖，推动教师培训常态化，将培训学分作为教师资格定期注册、教师考核的必备条件。</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（四）改革方法，课堂活起来。以提升教学效果为目的创新教学方法。强化课堂设计，解决好怎么讲好课的问题，杜绝单纯知识传递、忽视能力素质</w:t>
      </w:r>
      <w:r w:rsidRPr="00AC4CE4">
        <w:rPr>
          <w:rFonts w:hint="eastAsia"/>
          <w:sz w:val="28"/>
          <w:szCs w:val="28"/>
        </w:rPr>
        <w:lastRenderedPageBreak/>
        <w:t>培养的现象。强化现代信息技术与教育教学深度融合，解决好教与</w:t>
      </w:r>
      <w:proofErr w:type="gramStart"/>
      <w:r w:rsidRPr="00AC4CE4">
        <w:rPr>
          <w:rFonts w:hint="eastAsia"/>
          <w:sz w:val="28"/>
          <w:szCs w:val="28"/>
        </w:rPr>
        <w:t>学模式</w:t>
      </w:r>
      <w:proofErr w:type="gramEnd"/>
      <w:r w:rsidRPr="00AC4CE4">
        <w:rPr>
          <w:rFonts w:hint="eastAsia"/>
          <w:sz w:val="28"/>
          <w:szCs w:val="28"/>
        </w:rPr>
        <w:t>创新的问题，杜绝信息技术应用的简单化、形式化。强化师生互动、生生互动，解决好创新性、批判性思维培养的问题，杜绝教师满堂灌、学生被动听的现象。</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三、实施一流本科</w:t>
      </w:r>
      <w:proofErr w:type="gramStart"/>
      <w:r w:rsidRPr="00AC4CE4">
        <w:rPr>
          <w:rFonts w:hint="eastAsia"/>
          <w:b/>
          <w:bCs/>
          <w:sz w:val="28"/>
          <w:szCs w:val="28"/>
        </w:rPr>
        <w:t>课程双万</w:t>
      </w:r>
      <w:proofErr w:type="gramEnd"/>
      <w:r w:rsidRPr="00AC4CE4">
        <w:rPr>
          <w:rFonts w:hint="eastAsia"/>
          <w:b/>
          <w:bCs/>
          <w:sz w:val="28"/>
          <w:szCs w:val="28"/>
        </w:rPr>
        <w:t>计划</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认定万门左右国家级一流本科课程。注重创新型、复合型、应用型人才培养课程建设的创新性、示范引领性和推广性，在高校培育建设基础上，从2019年到2021年，完成4000门左右国家级线上一流课程（国家精品在线</w:t>
      </w:r>
      <w:r w:rsidRPr="00AC4CE4">
        <w:rPr>
          <w:rFonts w:hint="eastAsia"/>
          <w:sz w:val="28"/>
          <w:szCs w:val="28"/>
        </w:rPr>
        <w:lastRenderedPageBreak/>
        <w:t>开放课程）、4000门左右国家级线下一流课程、6000门左右国家级线上线下混合式一流课程、1500门左右国家虚拟仿真实验教学一流课程、1000门左右国家级社会实践一流课程认定工作，具体推荐认定办法见附件。</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sidRPr="00AC4CE4">
        <w:rPr>
          <w:rFonts w:hint="eastAsia"/>
          <w:sz w:val="28"/>
          <w:szCs w:val="28"/>
        </w:rPr>
        <w:t>因校制宜</w:t>
      </w:r>
      <w:proofErr w:type="gramEnd"/>
      <w:r w:rsidRPr="00AC4CE4">
        <w:rPr>
          <w:rFonts w:hint="eastAsia"/>
          <w:sz w:val="28"/>
          <w:szCs w:val="28"/>
        </w:rPr>
        <w:t>、</w:t>
      </w:r>
      <w:proofErr w:type="gramStart"/>
      <w:r w:rsidRPr="00AC4CE4">
        <w:rPr>
          <w:rFonts w:hint="eastAsia"/>
          <w:sz w:val="28"/>
          <w:szCs w:val="28"/>
        </w:rPr>
        <w:t>因课制宜建设</w:t>
      </w:r>
      <w:proofErr w:type="gramEnd"/>
      <w:r w:rsidRPr="00AC4CE4">
        <w:rPr>
          <w:rFonts w:hint="eastAsia"/>
          <w:sz w:val="28"/>
          <w:szCs w:val="28"/>
        </w:rPr>
        <w:t>省级一流本科课程，并报我部备案。</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四、组织管理</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（一）教育部负责统筹指导一流本科课程建设工作，组织有关专家和机构研究制定一流本科课程建设、应用与管理的相关标准规范。公布国家级一流本科课程推荐认定结果。</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（四）高等学校教学指导委员会要加强课程建设理论研究和分类指导，组织制订相关专业一流本科课程建设指南，引导高校汇聚优秀教师联合建设课程群，共享优质课程资源。</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lastRenderedPageBreak/>
        <w:t>（五）课程服务平台承担一流本科课程服务和数据安全保障的主体责任，配合开展课程审查和线上教学活动。要不断更新并提升技术和数据服务水平，监控和打击不良学习行为。加强课程平台间的交流与合作。</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（六）中央部门所属高校统筹利用“中央高校教育教学改革专项”等各类资源支持一流本科课程建设。地方高校统筹地方财政高等教育资金和中央支持地方高校改革发展资金支持一流本科课程建设。</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附件：“双万计划”国家级一流本科课程推荐认定办法</w:t>
      </w:r>
    </w:p>
    <w:p w:rsidR="00774DC7" w:rsidRPr="00AC4CE4" w:rsidRDefault="00B500D9" w:rsidP="00AC4CE4">
      <w:pPr>
        <w:pStyle w:val="a3"/>
        <w:shd w:val="clear" w:color="auto" w:fill="FFFFFF"/>
        <w:spacing w:before="0" w:beforeAutospacing="0" w:after="0" w:afterAutospacing="0" w:line="360" w:lineRule="auto"/>
        <w:jc w:val="right"/>
        <w:rPr>
          <w:rFonts w:hint="eastAsia"/>
          <w:sz w:val="28"/>
          <w:szCs w:val="28"/>
        </w:rPr>
      </w:pPr>
      <w:r w:rsidRPr="00AC4CE4">
        <w:rPr>
          <w:rFonts w:hint="eastAsia"/>
          <w:sz w:val="28"/>
          <w:szCs w:val="28"/>
        </w:rPr>
        <w:t>教育部</w:t>
      </w:r>
      <w:r w:rsidRPr="00AC4CE4">
        <w:rPr>
          <w:rFonts w:hint="eastAsia"/>
          <w:sz w:val="28"/>
          <w:szCs w:val="28"/>
        </w:rPr>
        <w:br/>
        <w:t>2019年10月24日</w:t>
      </w:r>
    </w:p>
    <w:p w:rsidR="00B500D9" w:rsidRPr="00AC4CE4" w:rsidRDefault="00B500D9" w:rsidP="00AC4CE4">
      <w:pPr>
        <w:pStyle w:val="a3"/>
        <w:shd w:val="clear" w:color="auto" w:fill="FFFFFF"/>
        <w:spacing w:before="0" w:beforeAutospacing="0" w:after="0" w:afterAutospacing="0" w:line="360" w:lineRule="auto"/>
        <w:ind w:firstLine="480"/>
        <w:rPr>
          <w:color w:val="FF0000"/>
          <w:sz w:val="28"/>
          <w:szCs w:val="28"/>
        </w:rPr>
      </w:pPr>
      <w:r w:rsidRPr="00AC4CE4">
        <w:rPr>
          <w:rFonts w:hint="eastAsia"/>
          <w:b/>
          <w:bCs/>
          <w:color w:val="FF0000"/>
          <w:sz w:val="28"/>
          <w:szCs w:val="28"/>
        </w:rPr>
        <w:t>附件</w:t>
      </w:r>
    </w:p>
    <w:p w:rsidR="00B500D9" w:rsidRDefault="00B500D9" w:rsidP="00AC4CE4">
      <w:pPr>
        <w:pStyle w:val="a3"/>
        <w:shd w:val="clear" w:color="auto" w:fill="FFFFFF"/>
        <w:spacing w:before="0" w:beforeAutospacing="0" w:after="0" w:afterAutospacing="0" w:line="360" w:lineRule="auto"/>
        <w:jc w:val="center"/>
        <w:rPr>
          <w:rFonts w:hint="eastAsia"/>
          <w:b/>
          <w:bCs/>
          <w:color w:val="FF0000"/>
          <w:sz w:val="36"/>
          <w:szCs w:val="36"/>
        </w:rPr>
      </w:pPr>
      <w:r w:rsidRPr="00AC4CE4">
        <w:rPr>
          <w:rFonts w:hint="eastAsia"/>
          <w:b/>
          <w:bCs/>
          <w:color w:val="FF0000"/>
          <w:sz w:val="36"/>
          <w:szCs w:val="36"/>
        </w:rPr>
        <w:t>“双万计划”国家级一流本科课程推荐认定办法</w:t>
      </w:r>
    </w:p>
    <w:p w:rsidR="00AC4CE4" w:rsidRPr="00AC4CE4" w:rsidRDefault="00AC4CE4" w:rsidP="00AC4CE4">
      <w:pPr>
        <w:pStyle w:val="a3"/>
        <w:shd w:val="clear" w:color="auto" w:fill="FFFFFF"/>
        <w:spacing w:before="0" w:beforeAutospacing="0" w:after="0" w:afterAutospacing="0" w:line="360" w:lineRule="auto"/>
        <w:jc w:val="center"/>
        <w:rPr>
          <w:color w:val="FF0000"/>
          <w:sz w:val="36"/>
          <w:szCs w:val="36"/>
        </w:rPr>
      </w:pP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一、推荐范围</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普通本科高校纳入人才培养方案且设置学分的本科课程均可推荐，包括思想政治理论课、公共基础课、专业基础课、专业课以及</w:t>
      </w:r>
      <w:proofErr w:type="gramStart"/>
      <w:r w:rsidRPr="00AC4CE4">
        <w:rPr>
          <w:rFonts w:hint="eastAsia"/>
          <w:sz w:val="28"/>
          <w:szCs w:val="28"/>
        </w:rPr>
        <w:t>通识课等</w:t>
      </w:r>
      <w:proofErr w:type="gramEnd"/>
      <w:r w:rsidRPr="00AC4CE4">
        <w:rPr>
          <w:rFonts w:hint="eastAsia"/>
          <w:sz w:val="28"/>
          <w:szCs w:val="28"/>
        </w:rPr>
        <w:t>独立设置的本科理论课程、实验课程和社会实践课程等。</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二、推荐类型与计划</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（一）线上一流课程。即国家精品在线开放课程，突出优质、开放、共享，打造</w:t>
      </w:r>
      <w:proofErr w:type="gramStart"/>
      <w:r w:rsidRPr="00AC4CE4">
        <w:rPr>
          <w:rFonts w:hint="eastAsia"/>
          <w:sz w:val="28"/>
          <w:szCs w:val="28"/>
        </w:rPr>
        <w:t>中国慕课品牌</w:t>
      </w:r>
      <w:proofErr w:type="gramEnd"/>
      <w:r w:rsidRPr="00AC4CE4">
        <w:rPr>
          <w:rFonts w:hint="eastAsia"/>
          <w:sz w:val="28"/>
          <w:szCs w:val="28"/>
        </w:rPr>
        <w:t>。完成4000门左右国家精品在线开放课程认定，构建内容更加丰富、结构更加合理、类别更加全面的国家级</w:t>
      </w:r>
      <w:proofErr w:type="gramStart"/>
      <w:r w:rsidRPr="00AC4CE4">
        <w:rPr>
          <w:rFonts w:hint="eastAsia"/>
          <w:sz w:val="28"/>
          <w:szCs w:val="28"/>
        </w:rPr>
        <w:t>精品慕课体系</w:t>
      </w:r>
      <w:proofErr w:type="gramEnd"/>
      <w:r w:rsidRPr="00AC4CE4">
        <w:rPr>
          <w:rFonts w:hint="eastAsia"/>
          <w:sz w:val="28"/>
          <w:szCs w:val="28"/>
        </w:rPr>
        <w:t>。</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（二）线下一流课程。主要指以面授为主的课程，以提升学生综合能力为重点，重塑课程内容，创新教学方法，打破课堂沉默状态，焕发课堂生机活</w:t>
      </w:r>
      <w:r w:rsidRPr="00AC4CE4">
        <w:rPr>
          <w:rFonts w:hint="eastAsia"/>
          <w:sz w:val="28"/>
          <w:szCs w:val="28"/>
        </w:rPr>
        <w:lastRenderedPageBreak/>
        <w:t>力，较好发挥课堂教学主阵地、主渠道、主战场作用。认定4000门左右国家级线下一流课程。</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三、推荐条件</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推荐课程须至少经过两个学期或两个教学周期的建设和完善，取得实质性改革成效，在同类课程中具有鲜明特色、良好的教学效果，并承诺入选后将</w:t>
      </w:r>
      <w:r w:rsidRPr="00AC4CE4">
        <w:rPr>
          <w:rFonts w:hint="eastAsia"/>
          <w:sz w:val="28"/>
          <w:szCs w:val="28"/>
        </w:rPr>
        <w:lastRenderedPageBreak/>
        <w:t>持续改进。符合相关类型课程基本形态和特殊要求的同时，在以下多个方面具备实质性创新，有较大的借鉴和推广价值。</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（一）教学理念先进。坚持立德树人，体现以学生发展为中心，致力于开启学生内在潜力和学习动力，注重学生德智体美劳全面发展。</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（三）课程目标有效支撑培养目标达成。课程目标符合学校办学定位和人才培养目标，注重知识、能力、素质培养。</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（四）课程教学设计科学合理。围绕目标达成、教学内容、组织实施和多元评价需求进行整体规划，教学策略、教学方法、教学过程、教学评价等设计合理。</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（六）教学组织与实施突出学生中心地位。根据学生认知规律和接受特点，创新教与学模式，因材施教，促进师生之间、学生之间的交流互动、资源共享、知识生成，教学反馈及时，教学效果显著。</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（七）课程管理与评价科学且可测量。教师备课要求明确，学生学习管理严格。针对教学目标、教学内容、教学组织等采用多元化考核评价，过程可回溯，诊断改进积极有效。教学过程材料完整，可借鉴可监督。</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lastRenderedPageBreak/>
        <w:t>四、推荐方式</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proofErr w:type="gramStart"/>
      <w:r w:rsidRPr="00AC4CE4">
        <w:rPr>
          <w:rFonts w:hint="eastAsia"/>
          <w:sz w:val="28"/>
          <w:szCs w:val="28"/>
        </w:rPr>
        <w:t>除线上</w:t>
      </w:r>
      <w:proofErr w:type="gramEnd"/>
      <w:r w:rsidRPr="00AC4CE4">
        <w:rPr>
          <w:rFonts w:hint="eastAsia"/>
          <w:sz w:val="28"/>
          <w:szCs w:val="28"/>
        </w:rPr>
        <w:t>一流课程、虚拟仿真实验教学一流课程继续按有关文件实施外，线下一流课程、线上线下混合式一流课程和社会实践一流课程采用以下推荐方式。</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（一）推荐总额</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教育部按照国家级线下一流课程、线上线下混合式一流课程和社会实践一流课程三年计划总数确定推荐总额，分别下达至中央部门所属高校和各省级教育行政部门。</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（二）分赛道推荐</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按照中央部门所属高校、地方高校的办学定位和培养目标特点分赛道推荐，名额分列。部省合建高校推荐课程纳入中央部门所属高校赛道。</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（三）推荐方式</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（四）推荐材料要求</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课程团队须提交申报书、时长10分钟内的说课视频（包括教学理念、课程设计、课程实施、改革成效等）和其他佐证材料。</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t>五、认定方式</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教育部分年度组织专家对推荐课程进行认定，经公示后向社会发布。对课程团队成员存在师德师风问题、学术不端问题、五年内出现过重大教学事故，课程内容存在思想性科学性问题的，实行一票否决。</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b/>
          <w:bCs/>
          <w:sz w:val="28"/>
          <w:szCs w:val="28"/>
        </w:rPr>
        <w:lastRenderedPageBreak/>
        <w:t>六、认定课程管理</w:t>
      </w:r>
    </w:p>
    <w:p w:rsidR="00B500D9" w:rsidRPr="00AC4CE4" w:rsidRDefault="00B500D9" w:rsidP="00AC4CE4">
      <w:pPr>
        <w:pStyle w:val="a3"/>
        <w:shd w:val="clear" w:color="auto" w:fill="FFFFFF"/>
        <w:spacing w:before="0" w:beforeAutospacing="0" w:after="0" w:afterAutospacing="0" w:line="360" w:lineRule="auto"/>
        <w:ind w:firstLine="480"/>
        <w:rPr>
          <w:sz w:val="28"/>
          <w:szCs w:val="28"/>
        </w:rPr>
      </w:pPr>
      <w:r w:rsidRPr="00AC4CE4">
        <w:rPr>
          <w:rFonts w:hint="eastAsia"/>
          <w:sz w:val="28"/>
          <w:szCs w:val="28"/>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0B7C8E" w:rsidRPr="00AC4CE4" w:rsidRDefault="000B7C8E">
      <w:pPr>
        <w:rPr>
          <w:sz w:val="28"/>
          <w:szCs w:val="28"/>
        </w:rPr>
      </w:pPr>
    </w:p>
    <w:sectPr w:rsidR="000B7C8E" w:rsidRPr="00AC4CE4" w:rsidSect="00AC4CE4">
      <w:pgSz w:w="11906" w:h="16838"/>
      <w:pgMar w:top="1276" w:right="1274" w:bottom="1135"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00D9"/>
    <w:rsid w:val="000B7C8E"/>
    <w:rsid w:val="00774DC7"/>
    <w:rsid w:val="00AC4CE4"/>
    <w:rsid w:val="00B500D9"/>
    <w:rsid w:val="00E85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0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0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3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蒲德彦</cp:lastModifiedBy>
  <cp:revision>3</cp:revision>
  <dcterms:created xsi:type="dcterms:W3CDTF">2019-11-22T09:00:00Z</dcterms:created>
  <dcterms:modified xsi:type="dcterms:W3CDTF">2019-12-03T06:37:00Z</dcterms:modified>
</cp:coreProperties>
</file>